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3F8" w:rsidRDefault="00ED23F8" w:rsidP="00ED23F8">
      <w:pPr>
        <w:pStyle w:val="Heading3"/>
      </w:pPr>
      <w:bookmarkStart w:id="0" w:name="_Toc256001071"/>
      <w:r>
        <w:rPr>
          <w:noProof/>
        </w:rPr>
        <w:t>Пчелни продукти</w:t>
      </w:r>
      <w:bookmarkEnd w:id="0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</w:p>
    <w:p w:rsidR="00ED23F8" w:rsidRDefault="00ED23F8" w:rsidP="00ED23F8">
      <w:pPr>
        <w:pStyle w:val="Heading4"/>
      </w:pPr>
      <w:bookmarkStart w:id="1" w:name="_Toc256001165"/>
      <w:r>
        <w:rPr>
          <w:noProof/>
        </w:rPr>
        <w:t>PROMOBEES(55(1)(f)) -  - популяризиране, комуникация и маркетинг, включително действия за наблюдение на пазара и дейности, насочени по-специално към повишаване на осведомеността на потребителите относно качеството на пчелните продукти</w:t>
      </w:r>
      <w:bookmarkEnd w:id="1"/>
    </w:p>
    <w:p w:rsidR="00ED23F8" w:rsidRDefault="00ED23F8" w:rsidP="00ED23F8">
      <w:pPr>
        <w:pStyle w:val="Heading5"/>
      </w:pPr>
      <w:bookmarkStart w:id="2" w:name="_Toc256001166"/>
      <w:r>
        <w:rPr>
          <w:noProof/>
        </w:rPr>
        <w:t>I.Е.9 - Популяризиране, комуникация и маркетинг, включително действия за наблюдение на пазара и дейности, насочени по-специално към повишаване на осведомеността на потребителите относно качеството на пчелните продукти</w:t>
      </w:r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Код на интервенцията (държава членка)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I.Е.9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Име на интервенцията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Популяризиране, комуникация и маркетинг, включително действия за наблюдение на пазара и дейности, насочени по-специално към повишаване на осведомеността на потребителите относно качеството на пчелните продукти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Вид интервенция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PROMOBEES(55(1)(f)) - популяризиране, комуникация и маркетинг, включително действия за наблюдение на пазара и дейности, насочени по-специално към повишаване на осведомеността на потребителите относно качеството на пчелните продукти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Общ показател за крайния продукт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O.37. Брой на действията или единиците за запазване или подобряване на пчеларството</w:t>
            </w:r>
          </w:p>
        </w:tc>
      </w:tr>
    </w:tbl>
    <w:p w:rsidR="00ED23F8" w:rsidRDefault="00ED23F8" w:rsidP="00ED23F8">
      <w:pPr>
        <w:pStyle w:val="Heading6"/>
        <w:rPr>
          <w:b w:val="0"/>
          <w:color w:val="000000"/>
          <w:sz w:val="24"/>
        </w:rPr>
      </w:pPr>
      <w:bookmarkStart w:id="3" w:name="_Toc256001167"/>
      <w:r>
        <w:rPr>
          <w:b w:val="0"/>
          <w:noProof/>
          <w:color w:val="000000"/>
          <w:sz w:val="24"/>
        </w:rPr>
        <w:t>1 Териториално приложение и ако е уместно, регионално измерение</w:t>
      </w:r>
      <w:bookmarkEnd w:id="3"/>
    </w:p>
    <w:p w:rsidR="00ED23F8" w:rsidRDefault="00ED23F8" w:rsidP="00ED23F8">
      <w:pPr>
        <w:rPr>
          <w:color w:val="000000"/>
          <w:sz w:val="0"/>
        </w:rPr>
      </w:pPr>
      <w:r>
        <w:rPr>
          <w:noProof/>
          <w:color w:val="000000"/>
        </w:rPr>
        <w:t xml:space="preserve">Териториално приложение: </w:t>
      </w:r>
      <w:r>
        <w:rPr>
          <w:b/>
          <w:noProof/>
          <w:color w:val="000000"/>
        </w:rPr>
        <w:t>Национално равнище</w:t>
      </w:r>
    </w:p>
    <w:p w:rsidR="00ED23F8" w:rsidRDefault="00ED23F8" w:rsidP="00ED23F8">
      <w:pPr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ED23F8" w:rsidTr="00CD3319">
        <w:trPr>
          <w:trHeight w:val="160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Описание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BG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България </w:t>
            </w:r>
          </w:p>
        </w:tc>
      </w:tr>
    </w:tbl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Описание на териториалното приложение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Интервенцията се прилага на територията на цялата страна</w:t>
            </w: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4" w:name="_Toc256001168"/>
      <w:r>
        <w:rPr>
          <w:b w:val="0"/>
          <w:noProof/>
          <w:color w:val="000000"/>
          <w:sz w:val="24"/>
        </w:rPr>
        <w:t>2 Свързани специфични цели, междусекторна цел и уместни секторни цели</w:t>
      </w:r>
      <w:bookmarkEnd w:id="4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СЕКТОРНА ЦЕЛ ПО ОСП Код + Описание 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</w:tr>
    </w:tbl>
    <w:p w:rsidR="00ED23F8" w:rsidRDefault="00ED23F8" w:rsidP="00ED23F8">
      <w:pPr>
        <w:spacing w:before="20" w:after="20"/>
        <w:rPr>
          <w:color w:val="000000"/>
          <w:sz w:val="0"/>
        </w:rPr>
      </w:pPr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 на СПЕЦИФИЧНАТА ЦЕЛ НА ОСП + описание</w:t>
            </w:r>
            <w:r>
              <w:rPr>
                <w:noProof/>
                <w:color w:val="000000"/>
                <w:sz w:val="20"/>
              </w:rPr>
              <w:t xml:space="preserve"> Препоръчителните специфични цели на ОСП за този вид интервенция са обозначени с получер шрифт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SO2 Подобряване на ориентацията на пазара и увеличаване на конкурентоспособността на стопанствата в краткосрочен и дългосрочен план, включително по-голям фокус върху научноизследователската дейност, технологиите и цифровизацията</w:t>
            </w:r>
          </w:p>
        </w:tc>
      </w:tr>
    </w:tbl>
    <w:p w:rsidR="00ED23F8" w:rsidRDefault="00ED23F8" w:rsidP="00ED23F8">
      <w:pPr>
        <w:spacing w:before="20" w:after="20"/>
        <w:rPr>
          <w:color w:val="000000"/>
          <w:sz w:val="0"/>
        </w:rPr>
      </w:pPr>
    </w:p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5" w:name="_Toc256001169"/>
      <w:r>
        <w:rPr>
          <w:b w:val="0"/>
          <w:noProof/>
          <w:color w:val="000000"/>
          <w:sz w:val="24"/>
        </w:rPr>
        <w:t>3 Потребности, обхванати от интервенцията</w:t>
      </w:r>
      <w:bookmarkEnd w:id="5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  <w:gridCol w:w="2560"/>
        <w:gridCol w:w="2560"/>
        <w:gridCol w:w="2560"/>
      </w:tblGrid>
      <w:tr w:rsidR="00ED23F8" w:rsidTr="00CD331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Описание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Определяне на приоритети на равнище стратегическия план по ОСП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Разгледана в стратегически план по ОСП</w:t>
            </w:r>
          </w:p>
        </w:tc>
      </w:tr>
      <w:tr w:rsidR="00ED23F8" w:rsidTr="00CD331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П.2.7.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Гарантиране на по-добри условия за устойчиво развитие на сектор пчеларство и повишаване на доходи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висок приоритет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Да</w:t>
            </w: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6" w:name="_Toc256001170"/>
      <w:r>
        <w:rPr>
          <w:b w:val="0"/>
          <w:noProof/>
          <w:color w:val="000000"/>
          <w:sz w:val="24"/>
        </w:rPr>
        <w:t>4 Показател(и) за резултатите</w:t>
      </w:r>
      <w:bookmarkEnd w:id="6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 на ПОКАЗАТЕЛИТЕ ЗА РЕЗУЛТАТИТЕ + описание</w:t>
            </w:r>
            <w:r>
              <w:rPr>
                <w:noProof/>
                <w:color w:val="000000"/>
                <w:sz w:val="20"/>
              </w:rPr>
              <w:t xml:space="preserve"> Препоръчителните показатели за резултатите за избраните специфични цели на ОСП за тази интервенция са обозначени с получер шрифт</w:t>
            </w:r>
          </w:p>
        </w:tc>
      </w:tr>
      <w:tr w:rsidR="00ED23F8" w:rsidTr="00CD331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7" w:name="_Toc256001171"/>
      <w:r>
        <w:rPr>
          <w:b w:val="0"/>
          <w:noProof/>
          <w:color w:val="000000"/>
          <w:sz w:val="24"/>
        </w:rPr>
        <w:t>5 Конкретен план, изисквания и условия за допустимост на интервенцията</w:t>
      </w:r>
      <w:bookmarkEnd w:id="7"/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lastRenderedPageBreak/>
        <w:t>Описание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Основната цел на интервенцията е запознаване на обществеността с полезните качества на пчелния мед и пчелните продукти и скъсяване на веригата на доставки. Така ще се повиши добавената стойност на производителите от една страна, а от друга ще се повиши доверието и информираността на потребителите. В направения анализ на сектора изрично е посочено, че доходите на пчеларите могат да се стабилизират и увеличат с повишаване на организираността на производителите и подобряване на пазарния им достъп – чрез обединяването им в групи и организации на производители, чрез стимулиране на създаването на “къси вериги” на доставки. Тази интервенция има за цел да увеличи вътрешната консумация и доверието в българския пчелен мед и пчелни продукти.</w:t>
            </w:r>
          </w:p>
          <w:p w:rsidR="00ED23F8" w:rsidRDefault="00ED23F8" w:rsidP="00CD3319">
            <w:pPr>
              <w:spacing w:before="40" w:after="40"/>
            </w:pPr>
          </w:p>
          <w:p w:rsidR="00ED23F8" w:rsidRDefault="00ED23F8" w:rsidP="00CD3319">
            <w:pPr>
              <w:spacing w:before="40" w:after="40"/>
            </w:pPr>
            <w:r>
              <w:rPr>
                <w:b/>
                <w:bCs/>
                <w:noProof/>
              </w:rPr>
              <w:t>Допустими бенефициери:</w:t>
            </w:r>
          </w:p>
          <w:p w:rsidR="00ED23F8" w:rsidRDefault="00ED23F8" w:rsidP="00CD3319">
            <w:pPr>
              <w:spacing w:before="40" w:after="40"/>
            </w:pPr>
          </w:p>
          <w:p w:rsidR="00ED23F8" w:rsidRDefault="00ED23F8" w:rsidP="007F1FD3">
            <w:pPr>
              <w:numPr>
                <w:ilvl w:val="0"/>
                <w:numId w:val="23"/>
              </w:numPr>
              <w:spacing w:before="40" w:after="40"/>
              <w:ind w:hanging="280"/>
            </w:pPr>
            <w:r>
              <w:rPr>
                <w:noProof/>
              </w:rPr>
              <w:t>Браншови организации за про</w:t>
            </w:r>
            <w:r w:rsidR="007F1FD3">
              <w:rPr>
                <w:noProof/>
              </w:rPr>
              <w:t>изводство и преработка на селско</w:t>
            </w:r>
            <w:r>
              <w:rPr>
                <w:noProof/>
              </w:rPr>
              <w:t>стопански продукти в сектор “Пчеларство”;</w:t>
            </w:r>
          </w:p>
          <w:p w:rsidR="00ED23F8" w:rsidRDefault="00ED23F8" w:rsidP="007F1FD3">
            <w:pPr>
              <w:numPr>
                <w:ilvl w:val="0"/>
                <w:numId w:val="23"/>
              </w:numPr>
              <w:spacing w:before="40" w:after="40"/>
              <w:ind w:hanging="280"/>
            </w:pPr>
            <w:r>
              <w:rPr>
                <w:noProof/>
              </w:rPr>
              <w:t>Сдружения, регистрирани по Закона за юридическите лица с нестопанска цел в обществена полза, в които членуват лица, отглеждащи пчелни семейства в регистрирани животновъдни обекти – пчелини;</w:t>
            </w:r>
          </w:p>
          <w:p w:rsidR="00ED23F8" w:rsidRDefault="00ED23F8" w:rsidP="007F1FD3">
            <w:pPr>
              <w:numPr>
                <w:ilvl w:val="0"/>
                <w:numId w:val="23"/>
              </w:numPr>
              <w:spacing w:before="40" w:after="40"/>
              <w:ind w:hanging="280"/>
            </w:pPr>
            <w:r>
              <w:rPr>
                <w:noProof/>
              </w:rPr>
              <w:t>Признати групи и организации на производители на мед и пчелни продукти и техните асоциации, признати по съответния ред от МЗм.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Допустими дейности: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• организиране и провеждане на национално ниво на изложения, пресконференции, информационни кампании, фестивали, панаири.</w:t>
            </w:r>
          </w:p>
          <w:p w:rsidR="00ED23F8" w:rsidRDefault="00ED23F8" w:rsidP="00CD3319">
            <w:pPr>
              <w:spacing w:before="40" w:after="40"/>
            </w:pP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Дейностите трябва да са насочени към широката общественост и да са свързани с поне една от следните теми:</w:t>
            </w:r>
          </w:p>
          <w:p w:rsidR="00ED23F8" w:rsidRDefault="00ED23F8" w:rsidP="007F1FD3">
            <w:pPr>
              <w:numPr>
                <w:ilvl w:val="0"/>
                <w:numId w:val="24"/>
              </w:numPr>
              <w:spacing w:before="40" w:after="40"/>
              <w:ind w:hanging="210"/>
            </w:pPr>
            <w:r>
              <w:rPr>
                <w:noProof/>
              </w:rPr>
              <w:t>Изтъкване предимствата на пчелните продукти;</w:t>
            </w:r>
          </w:p>
          <w:p w:rsidR="00ED23F8" w:rsidRDefault="00ED23F8" w:rsidP="007F1FD3">
            <w:pPr>
              <w:numPr>
                <w:ilvl w:val="0"/>
                <w:numId w:val="24"/>
              </w:numPr>
              <w:spacing w:before="40" w:after="40"/>
              <w:ind w:hanging="210"/>
            </w:pPr>
            <w:r>
              <w:rPr>
                <w:noProof/>
              </w:rPr>
              <w:t>Качеството на пчелните продукти ;</w:t>
            </w:r>
          </w:p>
          <w:p w:rsidR="00ED23F8" w:rsidRDefault="00ED23F8" w:rsidP="007F1FD3">
            <w:pPr>
              <w:numPr>
                <w:ilvl w:val="0"/>
                <w:numId w:val="24"/>
              </w:numPr>
              <w:spacing w:before="40" w:after="40"/>
              <w:ind w:hanging="210"/>
            </w:pPr>
            <w:r>
              <w:rPr>
                <w:noProof/>
              </w:rPr>
              <w:t>Ролята на пчелите за опазване на околната среда;</w:t>
            </w:r>
          </w:p>
          <w:p w:rsidR="00ED23F8" w:rsidRDefault="00ED23F8" w:rsidP="007F1FD3">
            <w:pPr>
              <w:numPr>
                <w:ilvl w:val="0"/>
                <w:numId w:val="24"/>
              </w:numPr>
              <w:spacing w:before="40" w:after="40"/>
              <w:ind w:hanging="210"/>
            </w:pPr>
            <w:r>
              <w:rPr>
                <w:noProof/>
              </w:rPr>
              <w:t>Наименованията за произход, географските указания и биологичното производство, браншови стандарти;</w:t>
            </w:r>
          </w:p>
          <w:p w:rsidR="00ED23F8" w:rsidRDefault="00ED23F8" w:rsidP="007F1FD3">
            <w:pPr>
              <w:numPr>
                <w:ilvl w:val="0"/>
                <w:numId w:val="24"/>
              </w:numPr>
              <w:spacing w:before="40" w:after="40"/>
              <w:ind w:hanging="210"/>
            </w:pPr>
            <w:r>
              <w:rPr>
                <w:noProof/>
              </w:rPr>
              <w:t>Фермерски продукти;</w:t>
            </w:r>
          </w:p>
          <w:p w:rsidR="00ED23F8" w:rsidRDefault="00ED23F8" w:rsidP="007F1FD3">
            <w:pPr>
              <w:numPr>
                <w:ilvl w:val="0"/>
                <w:numId w:val="24"/>
              </w:numPr>
              <w:spacing w:before="40" w:after="40"/>
              <w:ind w:hanging="210"/>
            </w:pPr>
            <w:r>
              <w:rPr>
                <w:noProof/>
              </w:rPr>
              <w:t>Популяризиране на местни и специфични видове мед;</w:t>
            </w:r>
          </w:p>
          <w:p w:rsidR="00ED23F8" w:rsidRDefault="00ED23F8" w:rsidP="007F1FD3">
            <w:pPr>
              <w:numPr>
                <w:ilvl w:val="0"/>
                <w:numId w:val="24"/>
              </w:numPr>
              <w:spacing w:before="40" w:after="40"/>
              <w:ind w:hanging="210"/>
            </w:pPr>
            <w:r>
              <w:rPr>
                <w:noProof/>
              </w:rPr>
              <w:t>Продукти на организации на производители;</w:t>
            </w:r>
          </w:p>
          <w:p w:rsidR="00ED23F8" w:rsidRDefault="00ED23F8" w:rsidP="007F1FD3">
            <w:pPr>
              <w:numPr>
                <w:ilvl w:val="0"/>
                <w:numId w:val="24"/>
              </w:numPr>
              <w:spacing w:before="40" w:after="40"/>
              <w:ind w:hanging="210"/>
            </w:pPr>
            <w:r>
              <w:rPr>
                <w:noProof/>
              </w:rPr>
              <w:t>Наблюдение на пазара.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Допустими са разходи за:</w:t>
            </w:r>
          </w:p>
          <w:p w:rsidR="00ED23F8" w:rsidRDefault="00ED23F8" w:rsidP="007F1FD3">
            <w:pPr>
              <w:numPr>
                <w:ilvl w:val="0"/>
                <w:numId w:val="25"/>
              </w:numPr>
              <w:spacing w:before="40" w:after="40"/>
              <w:ind w:hanging="210"/>
            </w:pPr>
            <w:r>
              <w:rPr>
                <w:noProof/>
              </w:rPr>
              <w:t>наем на щанд, зали, изложбени площи, техническо оборудване, радиореклама, включително разходите за изработване на клипове, филми и други аудио-визуални средства;</w:t>
            </w:r>
          </w:p>
          <w:p w:rsidR="00ED23F8" w:rsidRDefault="00ED23F8" w:rsidP="007F1FD3">
            <w:pPr>
              <w:numPr>
                <w:ilvl w:val="0"/>
                <w:numId w:val="25"/>
              </w:numPr>
              <w:spacing w:before="40" w:after="40"/>
              <w:ind w:hanging="210"/>
            </w:pPr>
            <w:r>
              <w:rPr>
                <w:noProof/>
              </w:rPr>
              <w:t>дизайн - изработване, отпечатване и разпространение на информационни материали – разходи за интернет страница, лого, брошури, дипляни, етикети, транспаранти, банери, винили и др.;</w:t>
            </w:r>
          </w:p>
          <w:p w:rsidR="00ED23F8" w:rsidRDefault="00ED23F8" w:rsidP="007F1FD3">
            <w:pPr>
              <w:numPr>
                <w:ilvl w:val="0"/>
                <w:numId w:val="25"/>
              </w:numPr>
              <w:spacing w:before="40" w:after="40"/>
              <w:ind w:hanging="210"/>
            </w:pPr>
            <w:r>
              <w:rPr>
                <w:noProof/>
              </w:rPr>
              <w:t>мостри на пчелен мед и пчелни продукти;</w:t>
            </w:r>
          </w:p>
          <w:p w:rsidR="00ED23F8" w:rsidRDefault="00ED23F8" w:rsidP="007F1FD3">
            <w:pPr>
              <w:numPr>
                <w:ilvl w:val="0"/>
                <w:numId w:val="25"/>
              </w:numPr>
              <w:spacing w:before="40" w:after="40"/>
              <w:ind w:hanging="210"/>
            </w:pPr>
            <w:r>
              <w:rPr>
                <w:noProof/>
              </w:rPr>
              <w:t>кулинарни демонстрации и уъркшопове свързани с популяризиране на пчелните продукти.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Условия за допустимост: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lastRenderedPageBreak/>
              <w:t>1.Наличие на проект с подробно описание на дейностите и включени очаквани разходи.</w:t>
            </w: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2.Пчеларските сдружения и групите и организациите на производители да са осъществявали дейност минимум една година преди датата на кандидатстване.</w:t>
            </w: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3.Предвидените в проекта цени не превишават обичайните пазарни цени.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Разходите за мостри не надвишават 10 на сто от разходите по проекта.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Подробните изисквания за прилагане на интервенцията ще бъдат разписани в национален регулаторен акт.</w:t>
            </w: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8" w:name="_Toc256001172"/>
      <w:r>
        <w:rPr>
          <w:b w:val="0"/>
          <w:noProof/>
          <w:color w:val="000000"/>
          <w:sz w:val="24"/>
        </w:rPr>
        <w:lastRenderedPageBreak/>
        <w:t>6 Форма и ставка на подпомагане/суми/методи за изчисляване</w:t>
      </w:r>
      <w:bookmarkEnd w:id="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Помощта може за бъде под следната форма :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–</w:t>
            </w:r>
            <w:r>
              <w:rPr>
                <w:b/>
                <w:bCs/>
                <w:noProof/>
              </w:rPr>
              <w:t xml:space="preserve"> възстановяване на допустими разходи, реално извършени от бенефициера - чл. 44, 1, а);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Размерът на помощта за един проект е на база предходно програмиране.</w:t>
            </w:r>
          </w:p>
          <w:p w:rsidR="00ED23F8" w:rsidRDefault="00ED23F8" w:rsidP="00CD3319">
            <w:pPr>
              <w:spacing w:before="40" w:after="40"/>
              <w:jc w:val="both"/>
              <w:rPr>
                <w:ins w:id="9" w:author="Siyka Peeva" w:date="2025-08-18T15:44:00Z"/>
                <w:noProof/>
              </w:rPr>
            </w:pPr>
            <w:r>
              <w:rPr>
                <w:noProof/>
              </w:rPr>
              <w:t>Публичната помощ за един проект е в размер до 13 122,51 EUR при интензитет на подпомагане до 80% от допустимите разходи, изпълнени и одобрени в рамките на проекта, като 40% са средства от ЕФГЗ и 60 % от държавния бюджет.</w:t>
            </w:r>
          </w:p>
          <w:p w:rsidR="00244D6F" w:rsidRDefault="00244D6F" w:rsidP="00EC5AAF">
            <w:pPr>
              <w:spacing w:before="40" w:after="40"/>
              <w:jc w:val="both"/>
              <w:rPr>
                <w:ins w:id="10" w:author="Siyka Peeva" w:date="2025-08-18T15:45:00Z"/>
              </w:rPr>
            </w:pPr>
          </w:p>
          <w:p w:rsidR="00244D6F" w:rsidRDefault="00244D6F" w:rsidP="00EC5AAF">
            <w:pPr>
              <w:spacing w:before="40" w:after="40"/>
              <w:jc w:val="both"/>
              <w:rPr>
                <w:ins w:id="11" w:author="Siyka Peeva" w:date="2025-08-19T10:38:00Z"/>
              </w:rPr>
            </w:pPr>
            <w:proofErr w:type="spellStart"/>
            <w:ins w:id="12" w:author="Siyka Peeva" w:date="2025-08-18T15:45:00Z">
              <w:r w:rsidRPr="00244D6F">
                <w:t>Финансова</w:t>
              </w:r>
              <w:proofErr w:type="spellEnd"/>
              <w:r w:rsidRPr="00244D6F">
                <w:t xml:space="preserve"> </w:t>
              </w:r>
              <w:proofErr w:type="spellStart"/>
              <w:r w:rsidRPr="00244D6F">
                <w:t>помощ</w:t>
              </w:r>
              <w:proofErr w:type="spellEnd"/>
              <w:r w:rsidRPr="00244D6F">
                <w:t xml:space="preserve"> </w:t>
              </w:r>
              <w:proofErr w:type="spellStart"/>
              <w:r w:rsidRPr="00244D6F">
                <w:t>за</w:t>
              </w:r>
              <w:proofErr w:type="spellEnd"/>
              <w:r w:rsidRPr="00244D6F">
                <w:t xml:space="preserve"> </w:t>
              </w:r>
              <w:proofErr w:type="spellStart"/>
              <w:r w:rsidRPr="00244D6F">
                <w:t>изпълнение</w:t>
              </w:r>
              <w:proofErr w:type="spellEnd"/>
              <w:r w:rsidRPr="00244D6F">
                <w:t xml:space="preserve"> </w:t>
              </w:r>
              <w:proofErr w:type="spellStart"/>
              <w:r w:rsidRPr="00244D6F">
                <w:t>на</w:t>
              </w:r>
              <w:proofErr w:type="spellEnd"/>
              <w:r w:rsidRPr="00244D6F">
                <w:t xml:space="preserve"> </w:t>
              </w:r>
              <w:proofErr w:type="spellStart"/>
              <w:r w:rsidRPr="00244D6F">
                <w:t>проекта</w:t>
              </w:r>
              <w:proofErr w:type="spellEnd"/>
              <w:r w:rsidRPr="00244D6F">
                <w:t xml:space="preserve"> </w:t>
              </w:r>
              <w:proofErr w:type="spellStart"/>
              <w:r w:rsidRPr="00244D6F">
                <w:t>може</w:t>
              </w:r>
              <w:proofErr w:type="spellEnd"/>
              <w:r w:rsidRPr="00244D6F">
                <w:t xml:space="preserve"> </w:t>
              </w:r>
              <w:proofErr w:type="spellStart"/>
              <w:r w:rsidRPr="00244D6F">
                <w:t>да</w:t>
              </w:r>
              <w:proofErr w:type="spellEnd"/>
              <w:r w:rsidRPr="00244D6F">
                <w:t xml:space="preserve"> </w:t>
              </w:r>
              <w:proofErr w:type="spellStart"/>
              <w:r w:rsidRPr="00244D6F">
                <w:t>се</w:t>
              </w:r>
              <w:proofErr w:type="spellEnd"/>
              <w:r w:rsidRPr="00244D6F">
                <w:t xml:space="preserve"> </w:t>
              </w:r>
              <w:proofErr w:type="spellStart"/>
              <w:r w:rsidRPr="00244D6F">
                <w:t>изплаща</w:t>
              </w:r>
              <w:proofErr w:type="spellEnd"/>
              <w:r w:rsidRPr="00244D6F">
                <w:t xml:space="preserve"> </w:t>
              </w:r>
              <w:proofErr w:type="spellStart"/>
              <w:r w:rsidRPr="00244D6F">
                <w:t>авансово</w:t>
              </w:r>
              <w:proofErr w:type="spellEnd"/>
              <w:r w:rsidRPr="00244D6F">
                <w:t>.</w:t>
              </w:r>
            </w:ins>
          </w:p>
          <w:p w:rsidR="00F12F9B" w:rsidRDefault="00F12F9B" w:rsidP="00EC5AAF">
            <w:pPr>
              <w:spacing w:before="40" w:after="40"/>
              <w:jc w:val="both"/>
              <w:rPr>
                <w:ins w:id="13" w:author="Siyka Peeva" w:date="2025-08-19T10:38:00Z"/>
              </w:rPr>
            </w:pPr>
          </w:p>
          <w:p w:rsidR="00F12F9B" w:rsidRDefault="00F12F9B" w:rsidP="00EC5AAF">
            <w:pPr>
              <w:spacing w:before="40" w:after="40"/>
              <w:jc w:val="both"/>
            </w:pP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14" w:name="_Toc256001173"/>
      <w:r>
        <w:rPr>
          <w:b w:val="0"/>
          <w:noProof/>
          <w:color w:val="000000"/>
          <w:sz w:val="24"/>
        </w:rPr>
        <w:t>7 Допълнителна информация за вида на интервенцията</w:t>
      </w:r>
      <w:bookmarkEnd w:id="1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Неприложимо.</w:t>
            </w:r>
          </w:p>
        </w:tc>
      </w:tr>
    </w:tbl>
    <w:p w:rsidR="00ED23F8" w:rsidRDefault="00ED23F8" w:rsidP="00ED23F8">
      <w:pPr>
        <w:spacing w:before="20" w:after="20"/>
        <w:rPr>
          <w:color w:val="000000"/>
        </w:rPr>
      </w:pPr>
      <w:bookmarkStart w:id="15" w:name="_GoBack"/>
      <w:bookmarkEnd w:id="15"/>
    </w:p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16" w:name="_Toc256001174"/>
      <w:r>
        <w:rPr>
          <w:b w:val="0"/>
          <w:noProof/>
          <w:color w:val="000000"/>
          <w:sz w:val="24"/>
        </w:rPr>
        <w:t>8 Съответствие с правилата на СТО</w:t>
      </w:r>
      <w:bookmarkEnd w:id="16"/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 xml:space="preserve"> Зелена кутия</w:t>
      </w:r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Параграф 2 от приложение 2 към Споразумението за СТО</w:t>
      </w:r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Разяснение как с интервенцията се спазват съответните разпоредби на приложение 2 към Споразумението за СТО за селското стопанство, както е посочено в член 10 от Регламент (ЕС) 2021/2115 и в приложение II към него („зелена кутия“)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Интервенцията представлява форма на вътрешна подкрепа, която съответства на изискванията определени в Приложение 2, параграф 2 на Споразумението за селско стопанство на СТО.</w:t>
            </w: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Допустимите за подпомагане дейности са базирани на ясно определени критерии и цели, заложени със Стратегическия план по ОСП и не представляват форма на ценова подкрепа или директно плащане за производителите.</w:t>
            </w: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Плащанията по интервенцията имат за цел запознаване на обществеността с полезните качества на пчелните продукти, повишаване доверието на потребителите и увеличаване на консумацията им на вътрешния пазар</w:t>
            </w: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Плащанията по интервенцията попадат в обхвата на буква е) от параграф 2 на Приложение 2 на Споразумението за селско стопанство на СТО</w:t>
            </w:r>
          </w:p>
        </w:tc>
      </w:tr>
    </w:tbl>
    <w:p w:rsidR="00ED23F8" w:rsidRDefault="00ED23F8" w:rsidP="00ED23F8">
      <w:pPr>
        <w:spacing w:before="20" w:after="20"/>
        <w:rPr>
          <w:color w:val="000000"/>
        </w:rPr>
        <w:sectPr w:rsidR="00ED23F8">
          <w:pgSz w:w="11906" w:h="16838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17" w:name="_Toc256001175"/>
      <w:r>
        <w:rPr>
          <w:b w:val="0"/>
          <w:noProof/>
          <w:color w:val="000000"/>
          <w:sz w:val="24"/>
        </w:rPr>
        <w:lastRenderedPageBreak/>
        <w:t>9 Планирани единични суми — определение</w:t>
      </w:r>
      <w:bookmarkEnd w:id="17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4"/>
        <w:gridCol w:w="2481"/>
        <w:gridCol w:w="921"/>
        <w:gridCol w:w="2080"/>
      </w:tblGrid>
      <w:tr w:rsidR="00ED23F8" w:rsidTr="00CD3319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Планирана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Вид на планираната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Регион(и)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Показател(и) за резултатите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I.Е.9 - Средна сума за промоционални и маркетингови действия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Среден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</w:tr>
    </w:tbl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Описание</w:t>
      </w:r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I.Е.9 - Средна сума за промоционални и маркетингови действия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6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Размерът на помощта за един проект е на база предходно програмиране.Формираният годишен бюджет е предвиден за финансиране на 3 проекта годишно.</w:t>
            </w: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18" w:name="_Toc256001176"/>
      <w:r>
        <w:rPr>
          <w:b w:val="0"/>
          <w:noProof/>
          <w:color w:val="000000"/>
          <w:sz w:val="24"/>
        </w:rPr>
        <w:t>10 Планирани единични суми — финансова таблица с краен продукт</w:t>
      </w:r>
      <w:bookmarkEnd w:id="18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  <w:gridCol w:w="2276"/>
        <w:gridCol w:w="840"/>
        <w:gridCol w:w="840"/>
        <w:gridCol w:w="840"/>
        <w:gridCol w:w="840"/>
        <w:gridCol w:w="840"/>
        <w:gridCol w:w="1141"/>
      </w:tblGrid>
      <w:tr w:rsidR="00ED23F8" w:rsidTr="00CD3319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Планирана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Финансова година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Общо за периода 2023—2027 г.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I.Е.9 - </w:t>
            </w:r>
          </w:p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Средна сума за промоционални и маркетингови действия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Планирана единична сума (общо разходи на Съюза в евро)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5 249,00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5 249,00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5 249,00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5 249,00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5 249,00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ED23F8" w:rsidTr="00CD3319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O.37 (единица: Действия)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Сума: </w:t>
            </w:r>
          </w:p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15,00</w:t>
            </w:r>
          </w:p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Макс.: </w:t>
            </w:r>
          </w:p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3,00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Годишно ориентировъчно разпределение на финансови средства (общо разходи на Съюза в евро)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15 747,01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15 747,01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15 747,01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15 747,01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15 747,01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78 735,05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ОБЩО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Годишно ориентировъчно разпределение на финансови средства (общо публични разходи в евро)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39 367,00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39 367,00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39 367,00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39 367,00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39 367,00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196 835,00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Годишно ориентировъчно разпределение на финансови средства (общо разходи на Съюза в евро)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15 747,01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15 747,01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15 747,01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15 747,01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15 747,01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78 735,05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Ставка на съфинансирането от ЕС в 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</w:tbl>
    <w:p w:rsidR="00B52101" w:rsidRDefault="00B52101"/>
    <w:sectPr w:rsidR="00B5210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F"/>
    <w:multiLevelType w:val="hybridMultilevel"/>
    <w:tmpl w:val="0000000F"/>
    <w:lvl w:ilvl="0" w:tplc="0A2823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6C271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7D834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BCEF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680C9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03ABE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5A80F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0E868F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D6427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0"/>
    <w:multiLevelType w:val="hybridMultilevel"/>
    <w:tmpl w:val="00000010"/>
    <w:lvl w:ilvl="0" w:tplc="16C4AF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C0F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BD253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E109F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7DEBDD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3B0E4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024949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8A63F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2E082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2"/>
    <w:multiLevelType w:val="hybridMultilevel"/>
    <w:tmpl w:val="00000012"/>
    <w:lvl w:ilvl="0" w:tplc="750817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8462D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46096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0C64E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CAACEF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79E0E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A96D83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DCA4E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42EDF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14"/>
    <w:multiLevelType w:val="hybridMultilevel"/>
    <w:tmpl w:val="00000014"/>
    <w:lvl w:ilvl="0" w:tplc="1EC6E1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D800A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10419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0AE34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03499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5B894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C5E6E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ACE997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51AB2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15"/>
    <w:multiLevelType w:val="hybridMultilevel"/>
    <w:tmpl w:val="00000015"/>
    <w:lvl w:ilvl="0" w:tplc="EDE89E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8C09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12ACC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B2230E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21625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5021B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AEC14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6E2FEA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992D2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7"/>
    <w:multiLevelType w:val="hybridMultilevel"/>
    <w:tmpl w:val="00000017"/>
    <w:lvl w:ilvl="0" w:tplc="7A4A08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888ED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E2E7C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EEA664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C84F59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2F28E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15E936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4CC83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8C417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9"/>
    <w:multiLevelType w:val="hybridMultilevel"/>
    <w:tmpl w:val="00000019"/>
    <w:lvl w:ilvl="0" w:tplc="A8704B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2BE71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5CAB3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CCC91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A446A0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4DA0C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4623A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F0A05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4C022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1A"/>
    <w:multiLevelType w:val="hybridMultilevel"/>
    <w:tmpl w:val="0000001A"/>
    <w:lvl w:ilvl="0" w:tplc="CB2E59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BF615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CECE6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D62266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EB067A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12CB5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0A421F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B7A001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2CEAF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000001B"/>
    <w:multiLevelType w:val="hybridMultilevel"/>
    <w:tmpl w:val="0000001B"/>
    <w:lvl w:ilvl="0" w:tplc="D6203D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97EC1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7768E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C62472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4D2C13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F7A15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038A2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B1EEE7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69A7E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1C"/>
    <w:multiLevelType w:val="hybridMultilevel"/>
    <w:tmpl w:val="0000001C"/>
    <w:lvl w:ilvl="0" w:tplc="499C76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7C23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6748F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86A6C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92EECB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3D29F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452280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F462B8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F7C2C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D"/>
    <w:multiLevelType w:val="hybridMultilevel"/>
    <w:tmpl w:val="0000001D"/>
    <w:lvl w:ilvl="0" w:tplc="032CEB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00E9A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D6405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2BC2E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DF2A9E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9DEC4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7861AC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CE003E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FDC2C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E"/>
    <w:multiLevelType w:val="hybridMultilevel"/>
    <w:tmpl w:val="0000001E"/>
    <w:lvl w:ilvl="0" w:tplc="FFA63F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9C4C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9F69F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5D43A7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45E68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A7CB6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51851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36AB0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94A69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20"/>
    <w:multiLevelType w:val="hybridMultilevel"/>
    <w:tmpl w:val="00000020"/>
    <w:lvl w:ilvl="0" w:tplc="5A085C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31A1F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050CB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3A80D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38AFB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EE2C1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9E2336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FA089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990BD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00000021"/>
    <w:multiLevelType w:val="hybridMultilevel"/>
    <w:tmpl w:val="00000021"/>
    <w:lvl w:ilvl="0" w:tplc="4C54A6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EF45D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05481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F0AE0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DEA47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C969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D9EE8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BA67CE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C529D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00000022"/>
    <w:multiLevelType w:val="hybridMultilevel"/>
    <w:tmpl w:val="00000022"/>
    <w:lvl w:ilvl="0" w:tplc="9B3CBC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FF49B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42A0A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EFA60D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E38E7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8A80A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1C696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F5431A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634B5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23"/>
    <w:multiLevelType w:val="hybridMultilevel"/>
    <w:tmpl w:val="00000023"/>
    <w:lvl w:ilvl="0" w:tplc="1F6A95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32648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63448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64EA1D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FD00A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6A406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8D67C1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7C07D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38834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24"/>
    <w:multiLevelType w:val="multilevel"/>
    <w:tmpl w:val="000000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25"/>
    <w:multiLevelType w:val="hybridMultilevel"/>
    <w:tmpl w:val="00000025"/>
    <w:lvl w:ilvl="0" w:tplc="BFA0F8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AC809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064DE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B222F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9F8731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0F06B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F504E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1460E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750C7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00000026"/>
    <w:multiLevelType w:val="hybridMultilevel"/>
    <w:tmpl w:val="00000026"/>
    <w:lvl w:ilvl="0" w:tplc="4B0444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FD033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24E05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C2C6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22E32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7964D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ADE30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00C16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056D6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yka Peeva">
    <w15:presenceInfo w15:providerId="None" w15:userId="Siyka Pee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B1"/>
    <w:rsid w:val="00010515"/>
    <w:rsid w:val="000A265D"/>
    <w:rsid w:val="000C75D5"/>
    <w:rsid w:val="00104971"/>
    <w:rsid w:val="00136D2D"/>
    <w:rsid w:val="0014376B"/>
    <w:rsid w:val="001756EE"/>
    <w:rsid w:val="001E7E41"/>
    <w:rsid w:val="00244D6F"/>
    <w:rsid w:val="00372BAD"/>
    <w:rsid w:val="00382A26"/>
    <w:rsid w:val="003A7827"/>
    <w:rsid w:val="00461153"/>
    <w:rsid w:val="004B6812"/>
    <w:rsid w:val="00514967"/>
    <w:rsid w:val="00583BE9"/>
    <w:rsid w:val="005D7668"/>
    <w:rsid w:val="006051B3"/>
    <w:rsid w:val="00622026"/>
    <w:rsid w:val="006518D2"/>
    <w:rsid w:val="00677E71"/>
    <w:rsid w:val="00695225"/>
    <w:rsid w:val="006C30E7"/>
    <w:rsid w:val="006D7840"/>
    <w:rsid w:val="007709B8"/>
    <w:rsid w:val="007D70D9"/>
    <w:rsid w:val="007F1FD3"/>
    <w:rsid w:val="00827E66"/>
    <w:rsid w:val="0088685D"/>
    <w:rsid w:val="008F4523"/>
    <w:rsid w:val="009444A0"/>
    <w:rsid w:val="009C7566"/>
    <w:rsid w:val="009C783C"/>
    <w:rsid w:val="009D7E54"/>
    <w:rsid w:val="009E3F64"/>
    <w:rsid w:val="009F6014"/>
    <w:rsid w:val="00AD6ED0"/>
    <w:rsid w:val="00B52101"/>
    <w:rsid w:val="00B613B1"/>
    <w:rsid w:val="00B820A3"/>
    <w:rsid w:val="00B90C03"/>
    <w:rsid w:val="00BD30C1"/>
    <w:rsid w:val="00C05DFA"/>
    <w:rsid w:val="00C85859"/>
    <w:rsid w:val="00CC0946"/>
    <w:rsid w:val="00CD011F"/>
    <w:rsid w:val="00CD3319"/>
    <w:rsid w:val="00D20FCE"/>
    <w:rsid w:val="00D44A9E"/>
    <w:rsid w:val="00D57808"/>
    <w:rsid w:val="00DA2D82"/>
    <w:rsid w:val="00DB558D"/>
    <w:rsid w:val="00DC17C8"/>
    <w:rsid w:val="00E006A2"/>
    <w:rsid w:val="00E01EC8"/>
    <w:rsid w:val="00E430DF"/>
    <w:rsid w:val="00EA3A6A"/>
    <w:rsid w:val="00EC5AAF"/>
    <w:rsid w:val="00ED23F8"/>
    <w:rsid w:val="00ED45E3"/>
    <w:rsid w:val="00F12F9B"/>
    <w:rsid w:val="00F25342"/>
    <w:rsid w:val="00F77DD8"/>
    <w:rsid w:val="00F87EA0"/>
    <w:rsid w:val="00FA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A9FC3F-5291-4209-8F05-02834DAF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D2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D23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23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ED23F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D23F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D23F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23F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ED23F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D23F8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ED23F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D23F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ED23F8"/>
    <w:rPr>
      <w:rFonts w:ascii="Times New Roman" w:eastAsia="Times New Roman" w:hAnsi="Times New Roman" w:cs="Times New Roman"/>
      <w:b/>
      <w:bCs/>
    </w:rPr>
  </w:style>
  <w:style w:type="character" w:customStyle="1" w:styleId="ql-cursor">
    <w:name w:val="ql-cursor"/>
    <w:basedOn w:val="DefaultParagraphFont"/>
    <w:rsid w:val="00ED23F8"/>
  </w:style>
  <w:style w:type="paragraph" w:customStyle="1" w:styleId="qlbt-cell-lineql-align-justify">
    <w:name w:val="qlbt-cell-line ql-align-justify"/>
    <w:basedOn w:val="Normal"/>
    <w:rsid w:val="00ED23F8"/>
  </w:style>
  <w:style w:type="paragraph" w:customStyle="1" w:styleId="qlbt-cell-line">
    <w:name w:val="qlbt-cell-line"/>
    <w:basedOn w:val="Normal"/>
    <w:rsid w:val="00ED23F8"/>
  </w:style>
  <w:style w:type="table" w:customStyle="1" w:styleId="quill-better-table">
    <w:name w:val="quill-better-table"/>
    <w:basedOn w:val="TableNormal"/>
    <w:rsid w:val="00ED2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</w:style>
  <w:style w:type="paragraph" w:customStyle="1" w:styleId="qlbt-cell-lineql-align-center">
    <w:name w:val="qlbt-cell-line ql-align-center"/>
    <w:basedOn w:val="Normal"/>
    <w:rsid w:val="00ED23F8"/>
  </w:style>
  <w:style w:type="paragraph" w:customStyle="1" w:styleId="ql-align-center">
    <w:name w:val="ql-align-center"/>
    <w:basedOn w:val="Normal"/>
    <w:rsid w:val="00ED23F8"/>
  </w:style>
  <w:style w:type="character" w:customStyle="1" w:styleId="ql-ui">
    <w:name w:val="ql-ui"/>
    <w:basedOn w:val="DefaultParagraphFont"/>
    <w:rsid w:val="00ED23F8"/>
  </w:style>
  <w:style w:type="paragraph" w:customStyle="1" w:styleId="qlbt-cell-lineql-align-right">
    <w:name w:val="qlbt-cell-line ql-align-right"/>
    <w:basedOn w:val="Normal"/>
    <w:rsid w:val="00ED23F8"/>
  </w:style>
  <w:style w:type="character" w:styleId="Hyperlink">
    <w:name w:val="Hyperlink"/>
    <w:basedOn w:val="DefaultParagraphFont"/>
    <w:rsid w:val="00ED23F8"/>
    <w:rPr>
      <w:color w:val="0000FF"/>
      <w:u w:val="single"/>
    </w:rPr>
  </w:style>
  <w:style w:type="paragraph" w:styleId="TOC2">
    <w:name w:val="toc 2"/>
    <w:basedOn w:val="Normal"/>
    <w:next w:val="Normal"/>
    <w:autoRedefine/>
    <w:rsid w:val="00ED23F8"/>
    <w:pPr>
      <w:ind w:left="240"/>
    </w:pPr>
  </w:style>
  <w:style w:type="paragraph" w:styleId="TOC3">
    <w:name w:val="toc 3"/>
    <w:basedOn w:val="Normal"/>
    <w:next w:val="Normal"/>
    <w:autoRedefine/>
    <w:rsid w:val="00ED23F8"/>
    <w:pPr>
      <w:ind w:left="480"/>
    </w:pPr>
  </w:style>
  <w:style w:type="paragraph" w:styleId="TOC4">
    <w:name w:val="toc 4"/>
    <w:basedOn w:val="Normal"/>
    <w:next w:val="Normal"/>
    <w:autoRedefine/>
    <w:rsid w:val="00ED23F8"/>
    <w:pPr>
      <w:ind w:left="720"/>
    </w:pPr>
  </w:style>
  <w:style w:type="paragraph" w:styleId="TOC5">
    <w:name w:val="toc 5"/>
    <w:basedOn w:val="Normal"/>
    <w:next w:val="Normal"/>
    <w:autoRedefine/>
    <w:rsid w:val="00ED23F8"/>
    <w:pPr>
      <w:ind w:left="960"/>
    </w:pPr>
  </w:style>
  <w:style w:type="paragraph" w:styleId="TOC1">
    <w:name w:val="toc 1"/>
    <w:basedOn w:val="Normal"/>
    <w:next w:val="Normal"/>
    <w:autoRedefine/>
    <w:rsid w:val="00ED23F8"/>
  </w:style>
  <w:style w:type="paragraph" w:styleId="TOC6">
    <w:name w:val="toc 6"/>
    <w:basedOn w:val="Normal"/>
    <w:next w:val="Normal"/>
    <w:autoRedefine/>
    <w:rsid w:val="00ED23F8"/>
    <w:pPr>
      <w:ind w:left="12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20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02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Siyka Peeva</dc:creator>
  <cp:lastModifiedBy>Siyka Peeva</cp:lastModifiedBy>
  <cp:revision>6</cp:revision>
  <cp:lastPrinted>2025-08-19T07:38:00Z</cp:lastPrinted>
  <dcterms:created xsi:type="dcterms:W3CDTF">2025-08-18T12:41:00Z</dcterms:created>
  <dcterms:modified xsi:type="dcterms:W3CDTF">2025-08-19T13:27:00Z</dcterms:modified>
</cp:coreProperties>
</file>